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B23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шаблона</w:t>
      </w:r>
      <w:r>
        <w:rPr>
          <w:rFonts w:ascii="Times New Roman" w:hAnsi="Times New Roman" w:cs="Times New Roman"/>
          <w:sz w:val="24"/>
          <w:szCs w:val="24"/>
        </w:rPr>
        <w:t xml:space="preserve">: «Шаблон региональных справочников СТЦ для заполнения данными ТФОМС согласно тарифным соглашениям» в формате Excel. </w:t>
      </w:r>
    </w:p>
    <w:p w14:paraId="2E413C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Назначение:</w:t>
      </w:r>
      <w:r>
        <w:rPr>
          <w:rFonts w:ascii="Times New Roman" w:hAnsi="Times New Roman" w:cs="Times New Roman"/>
          <w:sz w:val="24"/>
          <w:szCs w:val="24"/>
        </w:rPr>
        <w:t xml:space="preserve"> перечисленные справочники используются в алгоритмах расчета стоимости медицинского случая СТЦ. </w:t>
      </w:r>
    </w:p>
    <w:p w14:paraId="115A0B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шаблона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AFE6793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41806524"/>
      <w:r>
        <w:rPr>
          <w:rFonts w:ascii="Times New Roman" w:hAnsi="Times New Roman" w:cs="Times New Roman"/>
          <w:sz w:val="24"/>
          <w:szCs w:val="24"/>
        </w:rPr>
        <w:t>Региональный справочник «</w:t>
      </w:r>
      <w:bookmarkEnd w:id="0"/>
      <w:r>
        <w:rPr>
          <w:rFonts w:ascii="Times New Roman" w:hAnsi="Times New Roman" w:cs="Times New Roman"/>
          <w:sz w:val="24"/>
          <w:szCs w:val="24"/>
        </w:rPr>
        <w:t>Коэффициент уровня (подуровня) медицинской организации» –</w:t>
      </w:r>
      <w:r>
        <w:rPr>
          <w:rFonts w:ascii="Times New Roman" w:hAnsi="Times New Roman"/>
          <w:sz w:val="24"/>
        </w:rPr>
        <w:t xml:space="preserve"> лист «КоэфУрПодМО</w:t>
      </w:r>
      <w:r>
        <w:rPr>
          <w:rFonts w:ascii="Times New Roman" w:hAnsi="Times New Roman" w:cs="Times New Roman"/>
          <w:sz w:val="24"/>
          <w:szCs w:val="24"/>
        </w:rPr>
        <w:t>» (заполняется для СМП, СТЦ, АМБ);</w:t>
      </w:r>
    </w:p>
    <w:p w14:paraId="3497F20C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41806525"/>
      <w:r>
        <w:rPr>
          <w:rFonts w:ascii="Times New Roman" w:hAnsi="Times New Roman" w:cs="Times New Roman"/>
          <w:sz w:val="24"/>
          <w:szCs w:val="24"/>
        </w:rPr>
        <w:t>Региональный справочник «</w:t>
      </w:r>
      <w:bookmarkEnd w:id="1"/>
      <w:r>
        <w:rPr>
          <w:rFonts w:ascii="Times New Roman" w:hAnsi="Times New Roman" w:cs="Times New Roman"/>
          <w:sz w:val="24"/>
          <w:szCs w:val="24"/>
        </w:rPr>
        <w:t>Связи МО и уровней/подуровней МО» – лист «СвязиМОиУрПодМО»;</w:t>
      </w:r>
    </w:p>
    <w:p w14:paraId="4546DE9B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«Базовые ставки» – лист «БазоваяСтавка»;</w:t>
      </w:r>
    </w:p>
    <w:p w14:paraId="6E581F79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«Коэффициенты специфики оказания МП» –</w:t>
      </w:r>
      <w:r>
        <w:rPr>
          <w:rFonts w:ascii="Times New Roman" w:hAnsi="Times New Roman"/>
          <w:sz w:val="24"/>
        </w:rPr>
        <w:t xml:space="preserve"> лист «КоэфСпецМП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2B19E575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«Клинико-статистические группы (КСГ)» –</w:t>
      </w:r>
      <w:r>
        <w:rPr>
          <w:rFonts w:ascii="Times New Roman" w:hAnsi="Times New Roman"/>
          <w:sz w:val="24"/>
        </w:rPr>
        <w:t xml:space="preserve"> лист «КСГ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1D52C8B2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«Группировщик детальный» –</w:t>
      </w:r>
      <w:r>
        <w:rPr>
          <w:rFonts w:ascii="Times New Roman" w:hAnsi="Times New Roman"/>
          <w:sz w:val="24"/>
        </w:rPr>
        <w:t xml:space="preserve"> лист «ГруппДетал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71C57E0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«КСГ дополнительные классификационные критерии» –</w:t>
      </w:r>
      <w:r>
        <w:rPr>
          <w:rFonts w:ascii="Times New Roman" w:hAnsi="Times New Roman"/>
          <w:sz w:val="24"/>
        </w:rPr>
        <w:t xml:space="preserve"> лист «КСГдопКласКрит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06B5C5F2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«Коэффициенты дифференциации (МО)» –</w:t>
      </w:r>
      <w:r>
        <w:rPr>
          <w:rFonts w:ascii="Times New Roman" w:hAnsi="Times New Roman"/>
          <w:sz w:val="24"/>
        </w:rPr>
        <w:t xml:space="preserve"> лист «КоэфДифМО</w:t>
      </w:r>
      <w:r>
        <w:rPr>
          <w:rFonts w:ascii="Times New Roman" w:hAnsi="Times New Roman" w:cs="Times New Roman"/>
          <w:sz w:val="24"/>
          <w:szCs w:val="24"/>
        </w:rPr>
        <w:t>» (заполняется для СМП, СТЦ, АМБ);</w:t>
      </w:r>
    </w:p>
    <w:p w14:paraId="30D4052B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«Коэффициенты сложности лечения пациента» –</w:t>
      </w:r>
      <w:r>
        <w:rPr>
          <w:rFonts w:ascii="Times New Roman" w:hAnsi="Times New Roman"/>
          <w:sz w:val="24"/>
        </w:rPr>
        <w:t xml:space="preserve"> лист «КоэфСлЛечПац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28D17658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«Доля оплаты прерванных случаев (ФГУ + ТПОМС)» –</w:t>
      </w:r>
      <w:r>
        <w:rPr>
          <w:rFonts w:ascii="Times New Roman" w:hAnsi="Times New Roman"/>
          <w:sz w:val="24"/>
        </w:rPr>
        <w:t xml:space="preserve"> лист «Доля оплаты прерванных случаев (ФГУ + ТПОМС)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46662FB1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«Тарифы услуг».</w:t>
      </w:r>
    </w:p>
    <w:p w14:paraId="05514972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справочник «Схемы тарифов на оплату услуг ТПОМС».</w:t>
      </w:r>
    </w:p>
    <w:p w14:paraId="5511210E">
      <w:pPr>
        <w:pStyle w:val="1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4049EF">
      <w:pPr>
        <w:pStyle w:val="1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14:paraId="1C45DF8F">
      <w:pPr>
        <w:pStyle w:val="1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7ADE00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Шаблон передается ответственному сотруднику ТФОМС для заполнения перечисленных в содержании шаблона региональных справочников данными тарифных соглашений по своему ТФОМС.</w:t>
      </w:r>
    </w:p>
    <w:p w14:paraId="3928AD61">
      <w:pPr>
        <w:pStyle w:val="1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31F7F7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 для заполнения также можно посмотреть на листе «РегСправ». При нажатии на гиперссылку с наименованием справочника или в столбце «Лист», происходит переход на лист шаблона, который необходимо заполнить данными.</w:t>
      </w:r>
    </w:p>
    <w:p w14:paraId="4496319F">
      <w:pPr>
        <w:pStyle w:val="1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Сотруднику ТФОМС необходимо заполнить все поля справочников по своему ТФОМС по действию ТС (Тарифное соглашение, далее ТС).</w:t>
      </w:r>
    </w:p>
    <w:p w14:paraId="1E0E5725">
      <w:pPr>
        <w:pStyle w:val="1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6C55ED">
      <w:pPr>
        <w:pStyle w:val="10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42992671"/>
      <w:r>
        <w:rPr>
          <w:rFonts w:ascii="Times New Roman" w:hAnsi="Times New Roman" w:cs="Times New Roman"/>
          <w:sz w:val="24"/>
          <w:szCs w:val="24"/>
        </w:rPr>
        <w:t>Справочник «</w:t>
      </w:r>
      <w:r>
        <w:rPr>
          <w:rFonts w:ascii="Times New Roman" w:hAnsi="Times New Roman" w:cs="Times New Roman"/>
          <w:b/>
          <w:bCs/>
          <w:sz w:val="24"/>
          <w:szCs w:val="24"/>
        </w:rPr>
        <w:t>Коэффициент уровня (подуровня)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».</w:t>
      </w:r>
      <w:bookmarkEnd w:id="2"/>
    </w:p>
    <w:p w14:paraId="23B56A9C">
      <w:pPr>
        <w:pStyle w:val="10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справочника:</w:t>
      </w:r>
    </w:p>
    <w:p w14:paraId="613717C4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 коэф. (по условиям оказания МП) 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стационар), 3 – Амбулаторно, 4 – Вне медицинской организации;</w:t>
      </w:r>
    </w:p>
    <w:p w14:paraId="21985E10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КодТФОМС</w:t>
      </w:r>
      <w:r>
        <w:rPr>
          <w:rFonts w:ascii="Times New Roman" w:hAnsi="Times New Roman" w:cs="Times New Roman"/>
          <w:sz w:val="24"/>
          <w:szCs w:val="24"/>
        </w:rPr>
        <w:t xml:space="preserve"> – указывается Код ТФОМС – территория тарифного соглашения, по которой происходит ввод данных;</w:t>
      </w:r>
    </w:p>
    <w:p w14:paraId="43352A36">
      <w:pPr>
        <w:pStyle w:val="10"/>
        <w:ind w:left="0"/>
        <w:jc w:val="both"/>
        <w:rPr>
          <w:rFonts w:ascii="Times New Roman" w:hAnsi="Times New Roman"/>
          <w:sz w:val="24"/>
        </w:rPr>
      </w:pPr>
      <w:bookmarkStart w:id="3" w:name="_Hlk142661184"/>
      <w:r>
        <w:rPr>
          <w:rFonts w:ascii="Times New Roman" w:hAnsi="Times New Roman"/>
          <w:sz w:val="24"/>
        </w:rPr>
        <w:t>Перечень кодов и их расшифровка расположены на листе «F001».</w:t>
      </w:r>
      <w:bookmarkEnd w:id="3"/>
    </w:p>
    <w:p w14:paraId="5F900091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Коэффициент уровня (подуровня) медицинской организации –</w:t>
      </w:r>
      <w:r>
        <w:t xml:space="preserve">– </w:t>
      </w:r>
      <w:r>
        <w:rPr>
          <w:rFonts w:ascii="Times New Roman" w:hAnsi="Times New Roman" w:cs="Times New Roman"/>
          <w:sz w:val="24"/>
          <w:szCs w:val="24"/>
        </w:rPr>
        <w:t>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обусловленных объективными причинами. Берется из тарифного соглашения субъекта;</w:t>
      </w:r>
    </w:p>
    <w:p w14:paraId="2679A8D0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Уровень (подуровень) МО – </w:t>
      </w:r>
      <w:r>
        <w:rPr>
          <w:rFonts w:ascii="Times New Roman" w:hAnsi="Times New Roman" w:cs="Times New Roman"/>
          <w:sz w:val="24"/>
          <w:szCs w:val="24"/>
        </w:rPr>
        <w:t>заполняется в соответствии с ТС. Необходимо указать уровни МО в субъекте;</w:t>
      </w:r>
    </w:p>
    <w:p w14:paraId="481280F8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ДатаНачала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вводится текущая дата заполнения документа данными;</w:t>
      </w:r>
    </w:p>
    <w:p w14:paraId="7F1A4C1E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13DA2B8D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не заполняется.</w:t>
      </w:r>
    </w:p>
    <w:p w14:paraId="75778E4F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F82F27">
      <w:pPr>
        <w:pStyle w:val="10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Связи МО и уровней/подуровней МО</w:t>
      </w:r>
      <w:r>
        <w:rPr>
          <w:rFonts w:ascii="Times New Roman" w:hAnsi="Times New Roman"/>
          <w:sz w:val="24"/>
        </w:rPr>
        <w:t>».</w:t>
      </w:r>
    </w:p>
    <w:p w14:paraId="212AE4DE">
      <w:pPr>
        <w:pStyle w:val="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Данный справочник применяется для определения уровня конкретной МО, чтобы определить коэффициент уровня для данного МО по справочнику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REF _Ref142992671 \r \h 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.</w:t>
      </w:r>
    </w:p>
    <w:p w14:paraId="2559BEC4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0F7A114A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Уровень (подуровень) МО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</w:t>
      </w:r>
      <w:r>
        <w:rPr>
          <w:rFonts w:ascii="Times New Roman" w:hAnsi="Times New Roman"/>
          <w:sz w:val="24"/>
        </w:rPr>
        <w:t>с ТС;</w:t>
      </w:r>
    </w:p>
    <w:p w14:paraId="58F5EBE5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OID MO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  <w:lang w:val="en-US"/>
        </w:rPr>
        <w:t>OID</w:t>
      </w:r>
      <w:r>
        <w:rPr>
          <w:rFonts w:ascii="Times New Roman" w:hAnsi="Times New Roman"/>
          <w:sz w:val="24"/>
        </w:rPr>
        <w:t xml:space="preserve"> медицинской организации по справочнику ФРМО;</w:t>
      </w:r>
    </w:p>
    <w:p w14:paraId="5B60110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Код структурного подразделения медицинской организации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  <w:lang w:val="en-US"/>
        </w:rPr>
        <w:t>OID</w:t>
      </w:r>
      <w:r>
        <w:rPr>
          <w:rFonts w:ascii="Times New Roman" w:hAnsi="Times New Roman"/>
          <w:sz w:val="24"/>
        </w:rPr>
        <w:t xml:space="preserve"> структурного подразделения по ФРМО;</w:t>
      </w:r>
    </w:p>
    <w:p w14:paraId="48F88AC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КодТФОМС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2D29FBA4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9EB339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 коэф. (по условиям оказания МП)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стационар), 3 – Амбулаторно, 4 – Вне медицинской организации;</w:t>
      </w:r>
    </w:p>
    <w:p w14:paraId="72CDA4A5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0A791EC2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записи:</w:t>
      </w:r>
    </w:p>
    <w:p w14:paraId="2317C6DB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не заполняется.</w:t>
      </w:r>
    </w:p>
    <w:p w14:paraId="287135BD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956D14">
      <w:pPr>
        <w:pStyle w:val="10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Базовые ставки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2023 год и на плановый период 2024 и 2025 годов (далее – Территориальная программа государственных гарантий). Заполняется по тарифному соглашению субъекта.</w:t>
      </w:r>
    </w:p>
    <w:p w14:paraId="405D4F77">
      <w:pPr>
        <w:pStyle w:val="10"/>
        <w:ind w:left="360"/>
        <w:jc w:val="both"/>
        <w:rPr>
          <w:rFonts w:ascii="Times New Roman" w:hAnsi="Times New Roman"/>
          <w:sz w:val="24"/>
        </w:rPr>
      </w:pPr>
    </w:p>
    <w:p w14:paraId="67D85C4D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71061D71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КодТФОМС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2861D977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28F43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коэф. (по условиям оказания МП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7017F0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Размер базовой ставки, руб.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размер базовой ставки устанавливается тарифным соглашением, принятым на территории субъекта Российской Федерации;</w:t>
      </w:r>
    </w:p>
    <w:p w14:paraId="7DD01751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Сверхбазовая программа   –  </w:t>
      </w:r>
      <w:r>
        <w:rPr>
          <w:rFonts w:ascii="Times New Roman" w:hAnsi="Times New Roman"/>
          <w:sz w:val="24"/>
        </w:rPr>
        <w:t>указывается 1, если базовая ставка указана по сверхбазовой программе, иначе – пусто. Заполняется в соответствии с ТС;</w:t>
      </w:r>
    </w:p>
    <w:p w14:paraId="610D8F8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Норматив финансовых затрат, руб.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заполняется в соответствии с ТС;</w:t>
      </w:r>
    </w:p>
    <w:p w14:paraId="4146B5D0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базовой ставки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заполняется в соответствии с ТС;</w:t>
      </w:r>
    </w:p>
    <w:p w14:paraId="24D1D21B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163202CC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70922D97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sz w:val="24"/>
        </w:rPr>
        <w:t xml:space="preserve"> не заполняется.</w:t>
      </w:r>
    </w:p>
    <w:p w14:paraId="240880F7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83C94A">
      <w:pPr>
        <w:pStyle w:val="10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Коэффициенты специфики оказания МП</w:t>
      </w:r>
      <w:r>
        <w:rPr>
          <w:rFonts w:ascii="Times New Roman" w:hAnsi="Times New Roman"/>
          <w:sz w:val="24"/>
        </w:rPr>
        <w:t xml:space="preserve">» – </w:t>
      </w:r>
      <w:r>
        <w:rPr>
          <w:rFonts w:ascii="Times New Roman" w:hAnsi="Times New Roman" w:cs="Times New Roman"/>
          <w:sz w:val="24"/>
          <w:szCs w:val="24"/>
        </w:rPr>
        <w:t>устанавливаемый на территориальном уровне коэффициент, позволяющий корректировать тариф КСГ с целью управления структурой госпитализаций и (или) учета региональных особенностей оказания медицинской помощи по конкретной КСГ.</w:t>
      </w:r>
    </w:p>
    <w:p w14:paraId="5AE030FB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3E926DA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2F48907C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E254D9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коэф. (по условиям оказания МП)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стационар);</w:t>
      </w:r>
    </w:p>
    <w:p w14:paraId="207A4EBF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специфики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заполняется в соответствии с</w:t>
      </w:r>
      <w:r>
        <w:rPr>
          <w:rFonts w:ascii="Times New Roman" w:hAnsi="Times New Roman"/>
          <w:sz w:val="24"/>
        </w:rPr>
        <w:t xml:space="preserve"> ТС;</w:t>
      </w:r>
    </w:p>
    <w:p w14:paraId="51EF6584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группы КСГ </w:t>
      </w:r>
      <w:r>
        <w:rPr>
          <w:rFonts w:ascii="Times New Roman" w:hAnsi="Times New Roman"/>
          <w:sz w:val="24"/>
        </w:rPr>
        <w:t>– заполняется в соответствии с ТС, согласно справочнику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REF _Ref142997661 \h 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b/>
          <w:bCs/>
          <w:sz w:val="24"/>
        </w:rPr>
        <w:t>Клинико-статистические группы (КСГ)</w:t>
      </w:r>
      <w:r>
        <w:rPr>
          <w:rFonts w:ascii="Times New Roman" w:hAnsi="Times New Roman"/>
          <w:sz w:val="24"/>
        </w:rPr>
        <w:t xml:space="preserve">» 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;</w:t>
      </w:r>
    </w:p>
    <w:p w14:paraId="0352303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Категория МО </w:t>
      </w:r>
      <w:r>
        <w:rPr>
          <w:rFonts w:ascii="Times New Roman" w:hAnsi="Times New Roman"/>
          <w:sz w:val="24"/>
        </w:rPr>
        <w:t>– заполняется в соответствии со справочником «Категории МО» используемые значения:</w:t>
      </w:r>
    </w:p>
    <w:tbl>
      <w:tblPr>
        <w:tblStyle w:val="4"/>
        <w:tblW w:w="5060" w:type="dxa"/>
        <w:tblInd w:w="25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3420"/>
      </w:tblGrid>
      <w:tr w14:paraId="51115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FD4A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3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D0E1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Иные</w:t>
            </w:r>
          </w:p>
        </w:tc>
      </w:tr>
      <w:tr w14:paraId="72F0B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DFDB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EC07B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УДП</w:t>
            </w:r>
          </w:p>
        </w:tc>
      </w:tr>
      <w:tr w14:paraId="67207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4D27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C01D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ЗАТО</w:t>
            </w:r>
          </w:p>
        </w:tc>
      </w:tr>
      <w:tr w14:paraId="6C4CF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7C2F9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3B55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Образовательные и единственные</w:t>
            </w:r>
          </w:p>
        </w:tc>
      </w:tr>
    </w:tbl>
    <w:p w14:paraId="5CC79F1C">
      <w:pPr>
        <w:pStyle w:val="10"/>
        <w:jc w:val="both"/>
        <w:rPr>
          <w:rFonts w:ascii="Times New Roman" w:hAnsi="Times New Roman"/>
          <w:b/>
          <w:bCs/>
          <w:sz w:val="24"/>
        </w:rPr>
      </w:pPr>
    </w:p>
    <w:p w14:paraId="468EFA71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762A8C93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записи.</w:t>
      </w:r>
    </w:p>
    <w:p w14:paraId="595FE733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не заполняется.</w:t>
      </w:r>
    </w:p>
    <w:p w14:paraId="287F5338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0A701F">
      <w:pPr>
        <w:pStyle w:val="10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bookmarkStart w:id="4" w:name="_Ref142997661"/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Клинико-статистические группы (КСГ)</w:t>
      </w:r>
      <w:r>
        <w:rPr>
          <w:rFonts w:ascii="Times New Roman" w:hAnsi="Times New Roman"/>
          <w:sz w:val="24"/>
        </w:rPr>
        <w:t>»</w:t>
      </w:r>
      <w:bookmarkEnd w:id="4"/>
      <w:r>
        <w:rPr>
          <w:rFonts w:ascii="Times New Roman" w:hAnsi="Times New Roman"/>
          <w:sz w:val="24"/>
        </w:rPr>
        <w:t>.</w:t>
      </w:r>
    </w:p>
    <w:p w14:paraId="317C31B9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048C6598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1ABE622C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22347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группы (по условиям оказания МП)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BD72D0D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Доля заработной платы и прочих расходов </w:t>
      </w:r>
      <w:r>
        <w:rPr>
          <w:rFonts w:ascii="Times New Roman" w:hAnsi="Times New Roman"/>
          <w:sz w:val="24"/>
        </w:rPr>
        <w:t>– заполняется согласно тарифному соглашению;</w:t>
      </w:r>
    </w:p>
    <w:p w14:paraId="05991CB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группы КСГ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>заполняется согласно</w:t>
      </w:r>
      <w:r>
        <w:rPr>
          <w:rFonts w:ascii="Times New Roman" w:hAnsi="Times New Roman" w:cs="Times New Roman"/>
          <w:sz w:val="24"/>
          <w:szCs w:val="24"/>
        </w:rPr>
        <w:t xml:space="preserve"> тарифному соглашению;</w:t>
      </w:r>
    </w:p>
    <w:p w14:paraId="3B6E7AC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Наименование группы (подгруппы) КСГ </w:t>
      </w:r>
      <w:r>
        <w:rPr>
          <w:rFonts w:ascii="Times New Roman" w:hAnsi="Times New Roman"/>
          <w:sz w:val="24"/>
        </w:rPr>
        <w:t>– наименование указано в ТС;</w:t>
      </w:r>
    </w:p>
    <w:p w14:paraId="52F466A1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Группа относится к сверхбазовой программе – </w:t>
      </w:r>
      <w:r>
        <w:rPr>
          <w:rFonts w:ascii="Times New Roman" w:hAnsi="Times New Roman"/>
          <w:sz w:val="24"/>
        </w:rPr>
        <w:t>1, если по тарифному соглашению данная группа КСГ относится к свербазовой программе, иначе – пусто.</w:t>
      </w:r>
    </w:p>
    <w:p w14:paraId="2B0CEFFF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профиля </w:t>
      </w:r>
      <w:r>
        <w:rPr>
          <w:rFonts w:ascii="Times New Roman" w:hAnsi="Times New Roman"/>
          <w:sz w:val="24"/>
        </w:rPr>
        <w:t>– код профиля группы КСГ;</w:t>
      </w:r>
    </w:p>
    <w:p w14:paraId="4785D608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Наименование профиля </w:t>
      </w:r>
      <w:r>
        <w:rPr>
          <w:rFonts w:ascii="Times New Roman" w:hAnsi="Times New Roman"/>
          <w:sz w:val="24"/>
        </w:rPr>
        <w:t>– наименование профиля группы КСГ;</w:t>
      </w:r>
    </w:p>
    <w:p w14:paraId="5E8E4ED0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Контроль условия </w:t>
      </w:r>
      <w:r>
        <w:rPr>
          <w:rFonts w:ascii="Times New Roman" w:hAnsi="Times New Roman"/>
          <w:sz w:val="24"/>
        </w:rPr>
        <w:t>– 1 - если необходим контроль полноты проведения лекарственной терапии, иначе – пусто;</w:t>
      </w:r>
    </w:p>
    <w:p w14:paraId="5DCEA519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относительной затратоемкости </w:t>
      </w:r>
      <w:r>
        <w:rPr>
          <w:rFonts w:ascii="Times New Roman" w:hAnsi="Times New Roman"/>
          <w:sz w:val="24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ставке);</w:t>
      </w:r>
    </w:p>
    <w:p w14:paraId="7ED5EC0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Оптимальная длительность лечения до 3ех дней </w:t>
      </w:r>
      <w:r>
        <w:rPr>
          <w:rFonts w:ascii="Times New Roman" w:hAnsi="Times New Roman"/>
          <w:sz w:val="24"/>
        </w:rPr>
        <w:t>– 1, если максимальная длительность лечения по данной группе КСГ – до 3ех дней включительно, иначе – пусто;</w:t>
      </w:r>
    </w:p>
    <w:p w14:paraId="28FD6B3D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Не применяется коэффициент уровня/подуровня </w:t>
      </w:r>
      <w:r>
        <w:rPr>
          <w:rFonts w:ascii="Times New Roman" w:hAnsi="Times New Roman"/>
          <w:sz w:val="24"/>
        </w:rPr>
        <w:t>– 1, если не применяется, иначе – пусто;</w:t>
      </w:r>
    </w:p>
    <w:p w14:paraId="21894594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Минимальная длительность лечения </w:t>
      </w:r>
      <w:r>
        <w:rPr>
          <w:rFonts w:ascii="Times New Roman" w:hAnsi="Times New Roman"/>
          <w:sz w:val="24"/>
        </w:rPr>
        <w:t>– минимальная длительность госпитализации в днях (реабилитация);</w:t>
      </w:r>
    </w:p>
    <w:p w14:paraId="50436E34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631394C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4A58E3FC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заполняется.</w:t>
      </w:r>
    </w:p>
    <w:p w14:paraId="6A389ED5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7F0112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bookmarkStart w:id="5" w:name="_Ref143008136"/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Группировщик детальный</w:t>
      </w:r>
      <w:r>
        <w:rPr>
          <w:rFonts w:ascii="Times New Roman" w:hAnsi="Times New Roman"/>
          <w:sz w:val="24"/>
        </w:rPr>
        <w:t>» применяется для определения кода группы КСГ по характеристикам случая (диагнозы, услуги и прочее).</w:t>
      </w:r>
      <w:bookmarkEnd w:id="5"/>
    </w:p>
    <w:p w14:paraId="550DF509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137E384F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6C42E099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061A1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основного диагноза по МКБ 10 </w:t>
      </w:r>
      <w:r>
        <w:rPr>
          <w:rFonts w:ascii="Times New Roman" w:hAnsi="Times New Roman"/>
          <w:sz w:val="24"/>
        </w:rPr>
        <w:t>– заполняется в соответствии со справочником МКБ10 (международная классификация болезней);</w:t>
      </w:r>
    </w:p>
    <w:p w14:paraId="2D1B5A90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дополнительного диагноза по МКБ 10 </w:t>
      </w:r>
      <w:r>
        <w:rPr>
          <w:rFonts w:ascii="Times New Roman" w:hAnsi="Times New Roman"/>
          <w:sz w:val="24"/>
        </w:rPr>
        <w:t>– заполняется в соответствии со справочником МКБ10 (международная классификация болезней);</w:t>
      </w:r>
    </w:p>
    <w:p w14:paraId="6F318EE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диагноза осложнения по МКБ 10 </w:t>
      </w:r>
      <w:r>
        <w:rPr>
          <w:rFonts w:ascii="Times New Roman" w:hAnsi="Times New Roman"/>
          <w:sz w:val="24"/>
        </w:rPr>
        <w:t>– заполняется в соответствии со справочником МКБ10 (международная классификация болезней);</w:t>
      </w:r>
    </w:p>
    <w:p w14:paraId="3E530305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хирургической операции и/или другой применяемой медицинской технологии в соответствии с Номенклатурой </w:t>
      </w:r>
      <w:r>
        <w:rPr>
          <w:rFonts w:ascii="Times New Roman" w:hAnsi="Times New Roman"/>
          <w:sz w:val="24"/>
        </w:rPr>
        <w:t>– заполняется в соответствии со справочником минздрава OID=1.2.643.5.1.13.13.11.1070;</w:t>
      </w:r>
    </w:p>
    <w:p w14:paraId="56093A2B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Возрастная категория пациента </w:t>
      </w:r>
      <w:r>
        <w:rPr>
          <w:rFonts w:ascii="Times New Roman" w:hAnsi="Times New Roman"/>
          <w:sz w:val="24"/>
        </w:rPr>
        <w:t>– 1 - от 0 до 28 дней, 2 - от 29 до 90 дней, 3 - от 91 дня до 1 года, 4 - от 0 дней до 2 лет, 5 - от 0 дней до 18 лет, 6 - старше 18 лет, 7 - от 0 до 21 года</w:t>
      </w:r>
    </w:p>
    <w:p w14:paraId="4A5E1EBE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Пол пациента</w:t>
      </w:r>
      <w:r>
        <w:rPr>
          <w:rFonts w:ascii="Times New Roman" w:hAnsi="Times New Roman"/>
          <w:sz w:val="24"/>
        </w:rPr>
        <w:t xml:space="preserve"> – 1 – мужской, 2 – женский</w:t>
      </w:r>
      <w:r>
        <w:rPr>
          <w:rFonts w:ascii="Times New Roman" w:hAnsi="Times New Roman"/>
          <w:sz w:val="24"/>
          <w:lang w:val="en-US"/>
        </w:rPr>
        <w:t>;</w:t>
      </w:r>
    </w:p>
    <w:p w14:paraId="6F0E535D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Длительность пребывания : </w:t>
      </w:r>
      <w:r>
        <w:rPr>
          <w:rFonts w:ascii="Times New Roman" w:hAnsi="Times New Roman"/>
          <w:sz w:val="24"/>
        </w:rPr>
        <w:t xml:space="preserve">1 – пребывание до 3 дней включительно, 2 - от 4 до 10 дней включительно, 3 - от 11 до 20 дней включительно, 4 - от 21 до 30 дней включительно, </w:t>
      </w:r>
      <w:bookmarkStart w:id="7" w:name="_GoBack"/>
      <w:r>
        <w:rPr>
          <w:rFonts w:hint="default" w:ascii="Times New Roman" w:hAnsi="Times New Roman"/>
          <w:sz w:val="24"/>
          <w:lang w:val="ru-RU"/>
        </w:rPr>
        <w:t xml:space="preserve">5 </w:t>
      </w:r>
      <w:r>
        <w:rPr>
          <w:rFonts w:ascii="Times New Roman" w:hAnsi="Times New Roman"/>
          <w:sz w:val="24"/>
        </w:rPr>
        <w:t>- 30 дней;</w:t>
      </w:r>
      <w:bookmarkEnd w:id="7"/>
    </w:p>
    <w:p w14:paraId="675267F1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Диапазон количества дней проведения лучевой терапии (количества фракций)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Используемые значения: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14:paraId="257DAD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fr01-05 – количество фракций от 1 до 5 включительно;</w:t>
      </w:r>
    </w:p>
    <w:p w14:paraId="7E828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fr06-07 – количество фракций от 6 до 7 включительно;</w:t>
      </w:r>
    </w:p>
    <w:p w14:paraId="239D1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fr08-10 – количество фракций от 8 до 10 включительно;</w:t>
      </w:r>
    </w:p>
    <w:p w14:paraId="62AA3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fr11-20 – количество фракций от 11 до 20 включительно;</w:t>
      </w:r>
    </w:p>
    <w:p w14:paraId="4BAD0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fr21-29 – количество фракций от 21 до 29 включительно;</w:t>
      </w:r>
    </w:p>
    <w:p w14:paraId="25DFE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fr30-32 – количество фракций от 30 до 32 включительно; fr33-99 – количество фракций от 33 включительно и более</w:t>
      </w:r>
    </w:p>
    <w:p w14:paraId="313BC135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Иные классификационные критерии, представленные в справочниках "Схемы лекарственной терапии", "МНН ЛП" и "ДКК" </w:t>
      </w:r>
      <w:r>
        <w:rPr>
          <w:rFonts w:ascii="Times New Roman" w:hAnsi="Times New Roman"/>
          <w:sz w:val="24"/>
        </w:rPr>
        <w:t>– заполняется по справочнику</w:t>
      </w:r>
    </w:p>
    <w:p w14:paraId="47A1488C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Номер КСГ, к которой относится случай</w:t>
      </w:r>
      <w:r>
        <w:rPr>
          <w:rFonts w:ascii="Times New Roman" w:hAnsi="Times New Roman" w:cs="Times New Roman"/>
          <w:sz w:val="24"/>
          <w:szCs w:val="24"/>
        </w:rPr>
        <w:t xml:space="preserve"> – код группы КСГ</w:t>
      </w:r>
      <w:r>
        <w:rPr>
          <w:rFonts w:ascii="Times New Roman" w:hAnsi="Times New Roman"/>
          <w:b/>
          <w:bCs/>
          <w:sz w:val="24"/>
        </w:rPr>
        <w:t>;</w:t>
      </w:r>
    </w:p>
    <w:p w14:paraId="53D76834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группы (по условиям оказания МП) 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Используемые значения 1 – КС (круглосуточный стационар), 2 – ДС (дневной стационар);</w:t>
      </w:r>
    </w:p>
    <w:p w14:paraId="67FD65CA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7F36EBA4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3E05EB64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742D178">
      <w:pPr>
        <w:pStyle w:val="10"/>
        <w:jc w:val="both"/>
        <w:rPr>
          <w:rFonts w:ascii="Times New Roman" w:hAnsi="Times New Roman"/>
          <w:b/>
          <w:bCs/>
          <w:sz w:val="24"/>
        </w:rPr>
      </w:pPr>
    </w:p>
    <w:p w14:paraId="36DF5FE3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bookmarkStart w:id="6" w:name="_Ref143007991"/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КСГ дополнительные классификационные критерии</w:t>
      </w:r>
      <w:r>
        <w:rPr>
          <w:rFonts w:ascii="Times New Roman" w:hAnsi="Times New Roman"/>
          <w:sz w:val="24"/>
        </w:rPr>
        <w:t>» используется в СЭФД и в группировщике (справочник 6). Заполняется по тарифному соглашению</w:t>
      </w:r>
      <w:bookmarkEnd w:id="6"/>
    </w:p>
    <w:p w14:paraId="326E4595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4B702EDC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29C27D93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837AE2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группы (по условиям оказания МП) </w:t>
      </w:r>
      <w:r>
        <w:rPr>
          <w:rFonts w:ascii="Times New Roman" w:hAnsi="Times New Roman" w:cs="Times New Roman"/>
          <w:sz w:val="24"/>
          <w:szCs w:val="24"/>
        </w:rPr>
        <w:t xml:space="preserve">– 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B1AC97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ДКК </w:t>
      </w:r>
      <w:r>
        <w:rPr>
          <w:rFonts w:ascii="Times New Roman" w:hAnsi="Times New Roman" w:cs="Times New Roman"/>
          <w:sz w:val="24"/>
          <w:szCs w:val="24"/>
        </w:rPr>
        <w:t>– код из тарифного соглашения;</w:t>
      </w:r>
    </w:p>
    <w:p w14:paraId="7EB410D8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Наименование ДКК </w:t>
      </w:r>
      <w:r>
        <w:rPr>
          <w:rFonts w:ascii="Times New Roman" w:hAnsi="Times New Roman" w:cs="Times New Roman"/>
          <w:sz w:val="24"/>
          <w:szCs w:val="24"/>
        </w:rPr>
        <w:t>– наименование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ДКК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E3A8A62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36DBC37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6773F6EA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заполняется.</w:t>
      </w:r>
    </w:p>
    <w:p w14:paraId="7FEACB5E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98E91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Коэффициенты дифференциации (МО)</w:t>
      </w:r>
      <w:r>
        <w:rPr>
          <w:rFonts w:ascii="Times New Roman" w:hAnsi="Times New Roman"/>
          <w:sz w:val="24"/>
        </w:rPr>
        <w:t xml:space="preserve">» применяется для расчета стоимости случая МП. Справочник заполняется для всех медицинских организаций: стационаров (КС, ДС), амбулаторий (АМБ), вне медицинских организаций (СМП). </w:t>
      </w:r>
    </w:p>
    <w:p w14:paraId="056F1564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11944019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OID МО </w:t>
      </w:r>
      <w:r>
        <w:rPr>
          <w:rFonts w:ascii="Times New Roman" w:hAnsi="Times New Roman"/>
          <w:sz w:val="24"/>
        </w:rPr>
        <w:t>– заполняется по справочнику ФРМО;</w:t>
      </w:r>
    </w:p>
    <w:p w14:paraId="2238B07A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OID СП </w:t>
      </w:r>
      <w:r>
        <w:rPr>
          <w:rFonts w:ascii="Times New Roman" w:hAnsi="Times New Roman"/>
          <w:sz w:val="24"/>
        </w:rPr>
        <w:t xml:space="preserve">– заполняется </w:t>
      </w:r>
      <w:r>
        <w:rPr>
          <w:rFonts w:ascii="Times New Roman" w:hAnsi="Times New Roman"/>
          <w:sz w:val="24"/>
          <w:lang w:val="en-US"/>
        </w:rPr>
        <w:t>OID</w:t>
      </w:r>
      <w:r>
        <w:rPr>
          <w:rFonts w:ascii="Times New Roman" w:hAnsi="Times New Roman"/>
          <w:sz w:val="24"/>
        </w:rPr>
        <w:t xml:space="preserve"> структурного подразделения по справочнику ФРМО;</w:t>
      </w:r>
    </w:p>
    <w:p w14:paraId="634BD6FF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Наименование организации </w:t>
      </w:r>
      <w:r>
        <w:rPr>
          <w:rFonts w:ascii="Times New Roman" w:hAnsi="Times New Roman"/>
          <w:b/>
          <w:bCs/>
          <w:sz w:val="24"/>
          <w:lang w:val="ru-RU"/>
        </w:rPr>
        <w:t>СП</w:t>
      </w:r>
      <w:r>
        <w:rPr>
          <w:rFonts w:hint="default" w:ascii="Times New Roman" w:hAnsi="Times New Roman"/>
          <w:b/>
          <w:bCs/>
          <w:sz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>заполняется по справочнику ФРМО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CE449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Aдрес по ГАР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>заполняется по справочнику ФРМО;</w:t>
      </w:r>
    </w:p>
    <w:p w14:paraId="332064D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субъекта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 xml:space="preserve">заполняется по справочнику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001;</w:t>
      </w:r>
    </w:p>
    <w:p w14:paraId="3025E49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Субъект РФ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 xml:space="preserve">заполняется по справочнику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001;</w:t>
      </w:r>
    </w:p>
    <w:p w14:paraId="738B649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дифференциации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 xml:space="preserve">заполняется </w:t>
      </w:r>
      <w:r>
        <w:rPr>
          <w:rFonts w:ascii="Times New Roman" w:hAnsi="Times New Roman" w:cs="Times New Roman"/>
          <w:sz w:val="24"/>
          <w:szCs w:val="24"/>
        </w:rPr>
        <w:t xml:space="preserve">по тарифному соглашению, десятичное число; </w:t>
      </w:r>
    </w:p>
    <w:p w14:paraId="18EAF56A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Категория МО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</w:rPr>
        <w:t>заполняется в соответствии со справочником «Категории МО» используемые значения:</w:t>
      </w:r>
    </w:p>
    <w:tbl>
      <w:tblPr>
        <w:tblStyle w:val="4"/>
        <w:tblW w:w="5060" w:type="dxa"/>
        <w:tblInd w:w="25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3420"/>
      </w:tblGrid>
      <w:tr w14:paraId="6A6F8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3214B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3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296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Иные</w:t>
            </w:r>
          </w:p>
        </w:tc>
      </w:tr>
      <w:tr w14:paraId="44F38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ABF8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185B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УДП</w:t>
            </w:r>
          </w:p>
        </w:tc>
      </w:tr>
      <w:tr w14:paraId="3CB51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6BA8B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393A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ЗАТО</w:t>
            </w:r>
          </w:p>
        </w:tc>
      </w:tr>
      <w:tr w14:paraId="7DBB9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BE379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86A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>Образовательные и единственные</w:t>
            </w:r>
          </w:p>
        </w:tc>
      </w:tr>
    </w:tbl>
    <w:p w14:paraId="31620B15">
      <w:pPr>
        <w:pStyle w:val="10"/>
        <w:jc w:val="both"/>
        <w:rPr>
          <w:rFonts w:ascii="Times New Roman" w:hAnsi="Times New Roman"/>
          <w:b/>
          <w:bCs/>
          <w:sz w:val="24"/>
        </w:rPr>
      </w:pPr>
    </w:p>
    <w:p w14:paraId="12AE20EB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3D318F7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315AB07D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заполняется.</w:t>
      </w:r>
    </w:p>
    <w:p w14:paraId="7F316B78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F4F9D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Коэффициенты сложности лечения пациента</w:t>
      </w:r>
      <w:r>
        <w:rPr>
          <w:rFonts w:ascii="Times New Roman" w:hAnsi="Times New Roman"/>
          <w:sz w:val="24"/>
        </w:rPr>
        <w:t>» применяется при расчете стоимости МП.</w:t>
      </w:r>
    </w:p>
    <w:p w14:paraId="07EDEAE4">
      <w:pPr>
        <w:pStyle w:val="10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142E915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4D58F0CA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1A458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сложности лечения пациента </w:t>
      </w:r>
      <w:r>
        <w:rPr>
          <w:rFonts w:ascii="Times New Roman" w:hAnsi="Times New Roman" w:cs="Times New Roman"/>
          <w:sz w:val="24"/>
          <w:szCs w:val="24"/>
        </w:rPr>
        <w:t>– заполняется по тарифному соглашению;</w:t>
      </w:r>
    </w:p>
    <w:p w14:paraId="52EB4010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Сопутствующий диагноз или осложнение </w:t>
      </w:r>
      <w:r>
        <w:rPr>
          <w:rFonts w:ascii="Times New Roman" w:hAnsi="Times New Roman" w:cs="Times New Roman"/>
          <w:sz w:val="24"/>
          <w:szCs w:val="24"/>
        </w:rPr>
        <w:t>– заполняется по справочнику минздрава OID=1.2.643.5.1.13.13.11.1005;</w:t>
      </w:r>
    </w:p>
    <w:p w14:paraId="260579BC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Операция 1 (услуга) </w:t>
      </w:r>
      <w:r>
        <w:rPr>
          <w:rFonts w:ascii="Times New Roman" w:hAnsi="Times New Roman" w:cs="Times New Roman"/>
          <w:sz w:val="24"/>
          <w:szCs w:val="24"/>
        </w:rPr>
        <w:t>– заполняется по справочнику минздрава OID=1.2.643.5.1.13.13.11.1070;</w:t>
      </w:r>
    </w:p>
    <w:p w14:paraId="3B1BE58F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Операция 2 (услуга) </w:t>
      </w:r>
      <w:r>
        <w:rPr>
          <w:rFonts w:ascii="Times New Roman" w:hAnsi="Times New Roman" w:cs="Times New Roman"/>
          <w:sz w:val="24"/>
          <w:szCs w:val="24"/>
        </w:rPr>
        <w:t>– заполняется по справочнику минздрава OID=1.2.643.5.1.13.13.11.1070;</w:t>
      </w:r>
    </w:p>
    <w:p w14:paraId="384264A2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коэф. Сложности </w:t>
      </w:r>
      <w:r>
        <w:rPr>
          <w:rFonts w:ascii="Times New Roman" w:hAnsi="Times New Roman" w:cs="Times New Roman"/>
          <w:sz w:val="24"/>
          <w:szCs w:val="24"/>
        </w:rPr>
        <w:t>– используются значения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по справочнику </w:t>
      </w:r>
      <w:r>
        <w:rPr>
          <w:rFonts w:hint="default" w:ascii="Times New Roman" w:hAnsi="Times New Roman"/>
          <w:sz w:val="24"/>
          <w:szCs w:val="24"/>
          <w:lang w:val="ru-RU"/>
        </w:rPr>
        <w:t>V006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E1F7BC1">
      <w:pPr>
        <w:ind w:left="241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1 - </w:t>
      </w:r>
      <w:r>
        <w:rPr>
          <w:rFonts w:hint="default" w:ascii="Times New Roman" w:hAnsi="Times New Roman"/>
          <w:sz w:val="24"/>
          <w:szCs w:val="24"/>
          <w:lang w:val="ru-RU"/>
        </w:rPr>
        <w:t>стационарно</w:t>
      </w:r>
      <w:r>
        <w:rPr>
          <w:rFonts w:hint="default" w:ascii="Times New Roman" w:hAnsi="Times New Roman"/>
          <w:sz w:val="24"/>
          <w:szCs w:val="24"/>
          <w:lang w:val="en-US"/>
        </w:rPr>
        <w:t>;</w:t>
      </w:r>
    </w:p>
    <w:p w14:paraId="307388F7">
      <w:pPr>
        <w:ind w:left="2410"/>
        <w:rPr>
          <w:rFonts w:hint="default" w:ascii="Times New Roman" w:hAnsi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2 -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в </w:t>
      </w:r>
      <w:r>
        <w:rPr>
          <w:rFonts w:hint="default" w:ascii="Times New Roman" w:hAnsi="Times New Roman"/>
          <w:sz w:val="24"/>
          <w:szCs w:val="24"/>
        </w:rPr>
        <w:t>дневном стационаре</w:t>
      </w:r>
      <w:r>
        <w:rPr>
          <w:rFonts w:hint="default" w:ascii="Times New Roman" w:hAnsi="Times New Roman"/>
          <w:sz w:val="24"/>
          <w:szCs w:val="24"/>
          <w:lang w:val="en-US"/>
        </w:rPr>
        <w:t>.</w:t>
      </w:r>
    </w:p>
    <w:p w14:paraId="0BAE348D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причины – </w:t>
      </w:r>
      <w:r>
        <w:rPr>
          <w:rFonts w:ascii="Times New Roman" w:hAnsi="Times New Roman"/>
          <w:sz w:val="24"/>
        </w:rPr>
        <w:t>номер причины применения коэффициента по справочнику К004 (например, 10);</w:t>
      </w:r>
    </w:p>
    <w:p w14:paraId="1F0AEDC1">
      <w:pPr>
        <w:pStyle w:val="10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Причина применения</w:t>
      </w:r>
      <w:r>
        <w:rPr>
          <w:b/>
          <w:bCs/>
        </w:rPr>
        <w:t xml:space="preserve"> </w:t>
      </w:r>
      <w:r>
        <w:t xml:space="preserve">– </w:t>
      </w:r>
      <w:r>
        <w:rPr>
          <w:rFonts w:ascii="Times New Roman" w:hAnsi="Times New Roman"/>
          <w:sz w:val="24"/>
        </w:rPr>
        <w:t>условие применения коэффициента по справочник</w:t>
      </w:r>
      <w:r>
        <w:rPr>
          <w:rFonts w:ascii="Times New Roman" w:hAnsi="Times New Roman"/>
          <w:sz w:val="24"/>
          <w:lang w:val="en-US"/>
        </w:rPr>
        <w:t>e</w:t>
      </w:r>
      <w:r>
        <w:rPr>
          <w:rFonts w:ascii="Times New Roman" w:hAnsi="Times New Roman"/>
          <w:sz w:val="24"/>
        </w:rPr>
        <w:t xml:space="preserve"> K004 «Справочник КСЛП»</w:t>
      </w:r>
    </w:p>
    <w:p w14:paraId="55C17D97">
      <w:pPr>
        <w:ind w:firstLine="708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Например: «при предоставлении спального места и питания законному представителю несовершеннолетних (детей до 4 лет, детей старше 4 лет при наличии медицинских показаний), за исключением случая, указанного след. Подпункте»</w:t>
      </w:r>
      <w:r>
        <w:rPr>
          <w:rFonts w:ascii="Times New Roman" w:hAnsi="Times New Roman"/>
          <w:lang w:val="en-US"/>
        </w:rPr>
        <w:t>;</w:t>
      </w:r>
    </w:p>
    <w:p w14:paraId="14B5855A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hAnsi="Times New Roman"/>
          <w:b/>
          <w:bCs/>
          <w:sz w:val="24"/>
        </w:rPr>
        <w:t>Тип</w:t>
      </w:r>
      <w:r>
        <w:rPr>
          <w:rFonts w:ascii="Times New Roman" w:hAnsi="Times New Roman"/>
          <w:b/>
          <w:bCs/>
          <w:sz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</w:rPr>
        <w:t>причины</w:t>
      </w:r>
      <w:r>
        <w:rPr>
          <w:rFonts w:ascii="Times New Roman" w:hAnsi="Times New Roman"/>
          <w:b/>
          <w:bCs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используются значения:</w:t>
      </w:r>
    </w:p>
    <w:p w14:paraId="29AAB6FE">
      <w:pPr>
        <w:ind w:left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0 - сопутствующее заболевание, осложнение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53B0964">
      <w:pPr>
        <w:ind w:left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1 - сочетанное хирургическое вмешательство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4E3F003">
      <w:pPr>
        <w:ind w:left="141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2 - операции на парных органах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DBF721D">
      <w:pPr>
        <w:pStyle w:val="10"/>
        <w:ind w:left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иное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61B71D7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45EB40E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6D252100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заполняется.</w:t>
      </w:r>
    </w:p>
    <w:p w14:paraId="35878E34">
      <w:pPr>
        <w:pStyle w:val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7AC009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Доля оплаты прерванных случаев (ФГУ + ТПОМС)</w:t>
      </w:r>
      <w:r>
        <w:rPr>
          <w:rFonts w:ascii="Times New Roman" w:hAnsi="Times New Roman"/>
          <w:sz w:val="24"/>
        </w:rPr>
        <w:t>».</w:t>
      </w:r>
    </w:p>
    <w:p w14:paraId="632601B8">
      <w:pPr>
        <w:pStyle w:val="10"/>
        <w:numPr>
          <w:ilvl w:val="1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441CD1A0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20A2C28A">
      <w:pPr>
        <w:ind w:left="36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0DF2B0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Тип (по условиям оказания МП) </w:t>
      </w:r>
      <w:r>
        <w:rPr>
          <w:rFonts w:ascii="Times New Roman" w:hAnsi="Times New Roman" w:cs="Times New Roman"/>
          <w:sz w:val="24"/>
          <w:szCs w:val="24"/>
        </w:rPr>
        <w:t xml:space="preserve">– заполняется в соответствии со справочником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006. Значения 1 – КС (круглосуточный стационар), 2 – ДС (дневной стационар)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A87E20D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От (дни) </w:t>
      </w:r>
      <w:r>
        <w:rPr>
          <w:rFonts w:ascii="Times New Roman" w:hAnsi="Times New Roman" w:cs="Times New Roman"/>
          <w:sz w:val="24"/>
          <w:szCs w:val="24"/>
        </w:rPr>
        <w:t>– заполняется в днях;</w:t>
      </w:r>
    </w:p>
    <w:p w14:paraId="40090A2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До (дни) </w:t>
      </w:r>
      <w:r>
        <w:rPr>
          <w:rFonts w:ascii="Times New Roman" w:hAnsi="Times New Roman" w:cs="Times New Roman"/>
          <w:sz w:val="24"/>
          <w:szCs w:val="24"/>
        </w:rPr>
        <w:t>– заполняется в днях;</w:t>
      </w:r>
    </w:p>
    <w:p w14:paraId="4F76DEB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Доля оплаты прерванных случаев (ФГУ+ТПОМС) (%) </w:t>
      </w:r>
    </w:p>
    <w:p w14:paraId="10D00CAD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Тип профиля (хирургия/не хирургия и прочее)</w:t>
      </w:r>
      <w:r>
        <w:rPr>
          <w:b/>
          <w:bCs/>
        </w:rPr>
        <w:t xml:space="preserve"> </w:t>
      </w:r>
      <w:r>
        <w:t xml:space="preserve">– </w:t>
      </w:r>
      <w:r>
        <w:rPr>
          <w:rFonts w:ascii="Times New Roman" w:hAnsi="Times New Roman" w:cs="Times New Roman"/>
          <w:sz w:val="24"/>
          <w:szCs w:val="24"/>
        </w:rPr>
        <w:t>используемые значения:</w:t>
      </w:r>
    </w:p>
    <w:p w14:paraId="420B64C0">
      <w:pPr>
        <w:pStyle w:val="10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для хирургического профиля,</w:t>
      </w:r>
    </w:p>
    <w:p w14:paraId="40A510CA">
      <w:pPr>
        <w:pStyle w:val="9"/>
        <w:shd w:val="clear" w:color="auto" w:fill="FFFFFF"/>
        <w:spacing w:before="150" w:beforeAutospacing="0" w:after="0" w:afterAutospacing="0"/>
        <w:ind w:left="340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0 - иначе</w:t>
      </w:r>
    </w:p>
    <w:p w14:paraId="202F43D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группы КСГ </w:t>
      </w:r>
      <w:r>
        <w:rPr>
          <w:rFonts w:ascii="Times New Roman" w:hAnsi="Times New Roman" w:cs="Times New Roman"/>
          <w:sz w:val="24"/>
          <w:szCs w:val="24"/>
        </w:rPr>
        <w:t>– заполняется по справочнику «Группы КСГ»;</w:t>
      </w:r>
    </w:p>
    <w:p w14:paraId="70E46ECA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067B3AD7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5CAB771E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заполняется.</w:t>
      </w:r>
    </w:p>
    <w:p w14:paraId="5C06BBC0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F106EA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/>
          <w:b/>
          <w:bCs/>
          <w:sz w:val="24"/>
        </w:rPr>
        <w:t>Тарифы услуг</w:t>
      </w:r>
      <w:r>
        <w:rPr>
          <w:rFonts w:ascii="Times New Roman" w:hAnsi="Times New Roman"/>
          <w:sz w:val="24"/>
        </w:rPr>
        <w:t>».</w:t>
      </w:r>
    </w:p>
    <w:p w14:paraId="2FA3243D">
      <w:pPr>
        <w:pStyle w:val="10"/>
        <w:numPr>
          <w:ilvl w:val="1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20B1FAEC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6AD017D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B8C6A6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Код номенклатуры </w:t>
      </w:r>
      <w:r>
        <w:rPr>
          <w:rFonts w:ascii="Times New Roman" w:hAnsi="Times New Roman" w:cs="Times New Roman"/>
          <w:sz w:val="24"/>
          <w:szCs w:val="24"/>
        </w:rPr>
        <w:t>– заполняется в соответствии со справочником минздрава OID=1.2.643.5.1.13.13.11.1070;</w:t>
      </w:r>
    </w:p>
    <w:p w14:paraId="4DEFDA1C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– заполняется в соответствии со справочником минздрава OID=1.2.643.5.1.13.13.11.1070;</w:t>
      </w:r>
    </w:p>
    <w:p w14:paraId="448B4672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Полный тариф, руб </w:t>
      </w:r>
      <w:r>
        <w:rPr>
          <w:rFonts w:ascii="Times New Roman" w:hAnsi="Times New Roman" w:cs="Times New Roman"/>
          <w:sz w:val="24"/>
          <w:szCs w:val="24"/>
        </w:rPr>
        <w:t>– итоговая стоимость за единицу (услуги, дня обмена, суток)</w:t>
      </w:r>
    </w:p>
    <w:p w14:paraId="0A54937E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Доля зарплаты,% - </w:t>
      </w:r>
      <w:r>
        <w:rPr>
          <w:rFonts w:ascii="Times New Roman" w:hAnsi="Times New Roman"/>
          <w:sz w:val="24"/>
        </w:rPr>
        <w:t>заполняется долей оплаты, если за данную услугу в тарифном соглашении установлена доля зарплаты и прочих расходов, иначе - пусто</w:t>
      </w:r>
    </w:p>
    <w:p w14:paraId="14CC218F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Единица оплаты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814A89A">
      <w:pPr>
        <w:pStyle w:val="10"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1 - Услуга</w:t>
      </w:r>
    </w:p>
    <w:p w14:paraId="5B9508AA">
      <w:pPr>
        <w:pStyle w:val="10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2 - Сутки</w:t>
      </w:r>
    </w:p>
    <w:p w14:paraId="0AFE3E42">
      <w:pPr>
        <w:pStyle w:val="10"/>
        <w:ind w:left="354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3 - День обмена</w:t>
      </w:r>
    </w:p>
    <w:p w14:paraId="0EEA9449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Базовый тариф, руб </w:t>
      </w:r>
      <w:r>
        <w:rPr>
          <w:rFonts w:ascii="Times New Roman" w:hAnsi="Times New Roman" w:cs="Times New Roman"/>
          <w:sz w:val="24"/>
          <w:szCs w:val="24"/>
        </w:rPr>
        <w:t>– заполняется согласно тарифному соглашению;</w:t>
      </w:r>
    </w:p>
    <w:p w14:paraId="2D720B73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Коэффициент относительной затратоёмкости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заполняется согласно тарифному соглашению;</w:t>
      </w:r>
    </w:p>
    <w:p w14:paraId="1B61D9DB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13EF57CA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6007A0D2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заполняется.</w:t>
      </w:r>
    </w:p>
    <w:p w14:paraId="49BF15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316F84">
      <w:pPr>
        <w:pStyle w:val="10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Справочник «</w:t>
      </w:r>
      <w:r>
        <w:rPr>
          <w:rFonts w:ascii="Times New Roman" w:hAnsi="Times New Roman" w:cs="Times New Roman"/>
          <w:b/>
          <w:bCs/>
          <w:sz w:val="24"/>
          <w:szCs w:val="24"/>
        </w:rPr>
        <w:t>Схемы тарифов на оплату услуг ТПОМС</w:t>
      </w:r>
      <w:r>
        <w:rPr>
          <w:rFonts w:ascii="Times New Roman" w:hAnsi="Times New Roman"/>
          <w:sz w:val="24"/>
        </w:rPr>
        <w:t>».</w:t>
      </w:r>
    </w:p>
    <w:p w14:paraId="438FF996">
      <w:pPr>
        <w:pStyle w:val="10"/>
        <w:numPr>
          <w:ilvl w:val="1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Заполнение справочника:</w:t>
      </w:r>
    </w:p>
    <w:p w14:paraId="0566D925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КодТФОМС</w:t>
      </w: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указывается Код ТФОМС – территория тарифного соглашения, по которой происходит ввод данных.</w:t>
      </w:r>
    </w:p>
    <w:p w14:paraId="55A5184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Перечень кодов и их расшифровка расположены на листе «F001»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A0A88B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Используется коэффициент уровня МО </w:t>
      </w:r>
      <w:r>
        <w:rPr>
          <w:rFonts w:ascii="Times New Roman" w:hAnsi="Times New Roman" w:cs="Times New Roman"/>
          <w:sz w:val="24"/>
          <w:szCs w:val="24"/>
        </w:rPr>
        <w:t>– 1, если при расчете стоимости услуги в тарифном соглашении учитывается коэффициент уровня МО, иначе – пусто</w:t>
      </w:r>
    </w:p>
    <w:p w14:paraId="64BCC199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Используется коэффициент дифференциации </w:t>
      </w:r>
      <w:r>
        <w:rPr>
          <w:rFonts w:ascii="Times New Roman" w:hAnsi="Times New Roman" w:cs="Times New Roman"/>
          <w:sz w:val="24"/>
          <w:szCs w:val="24"/>
        </w:rPr>
        <w:t>– 1, если при расчете стоимости услуги в тарифном соглашении учитывается коэффициент дифференциации иначе – пусто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14:paraId="385BECBD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ДатаНачала</w:t>
      </w:r>
      <w:r>
        <w:rPr>
          <w:rFonts w:ascii="Times New Roman" w:hAnsi="Times New Roman" w:cs="Times New Roman"/>
          <w:sz w:val="24"/>
          <w:szCs w:val="24"/>
        </w:rPr>
        <w:t xml:space="preserve"> – вводится текущая дата заполнения документа данными;</w:t>
      </w:r>
    </w:p>
    <w:p w14:paraId="3995E68D">
      <w:pPr>
        <w:pStyle w:val="10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ДатаОкончания</w:t>
      </w:r>
      <w:r>
        <w:rPr>
          <w:rFonts w:ascii="Times New Roman" w:hAnsi="Times New Roman" w:cs="Times New Roman"/>
          <w:sz w:val="24"/>
          <w:szCs w:val="24"/>
        </w:rPr>
        <w:t xml:space="preserve"> – вводится дата закрытия записи, если были изменения в ТС, то проставляется дата закрытия исключаемой записи и вносится новая запись с датой создания записи и без указания даты закрытия записи;</w:t>
      </w:r>
    </w:p>
    <w:p w14:paraId="46BA8B89">
      <w:pPr>
        <w:pStyle w:val="10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Версия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не заполняется.</w:t>
      </w:r>
    </w:p>
    <w:p w14:paraId="7D87D837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9E69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5F3B96"/>
    <w:multiLevelType w:val="multilevel"/>
    <w:tmpl w:val="265F3B9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79654E"/>
    <w:multiLevelType w:val="multilevel"/>
    <w:tmpl w:val="3A79654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90A3595"/>
    <w:multiLevelType w:val="multilevel"/>
    <w:tmpl w:val="490A3595"/>
    <w:lvl w:ilvl="0" w:tentative="0">
      <w:start w:val="1"/>
      <w:numFmt w:val="bullet"/>
      <w:lvlText w:val="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F371B51"/>
    <w:multiLevelType w:val="multilevel"/>
    <w:tmpl w:val="5F371B5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D6"/>
    <w:rsid w:val="0000071A"/>
    <w:rsid w:val="00046C52"/>
    <w:rsid w:val="00047FF6"/>
    <w:rsid w:val="00051C36"/>
    <w:rsid w:val="00056FFD"/>
    <w:rsid w:val="00087E8C"/>
    <w:rsid w:val="000A3FD4"/>
    <w:rsid w:val="000A6FB7"/>
    <w:rsid w:val="000C3A52"/>
    <w:rsid w:val="000D4DC6"/>
    <w:rsid w:val="0015577E"/>
    <w:rsid w:val="001816C0"/>
    <w:rsid w:val="001B691B"/>
    <w:rsid w:val="001B6EB2"/>
    <w:rsid w:val="001D2537"/>
    <w:rsid w:val="002B7ACA"/>
    <w:rsid w:val="0030580C"/>
    <w:rsid w:val="00360EAE"/>
    <w:rsid w:val="00366BCD"/>
    <w:rsid w:val="00393B76"/>
    <w:rsid w:val="003B1E6F"/>
    <w:rsid w:val="003B3DC4"/>
    <w:rsid w:val="003C3586"/>
    <w:rsid w:val="003E6EDE"/>
    <w:rsid w:val="003F0407"/>
    <w:rsid w:val="003F7EF2"/>
    <w:rsid w:val="00432F58"/>
    <w:rsid w:val="00435256"/>
    <w:rsid w:val="004460CD"/>
    <w:rsid w:val="00466873"/>
    <w:rsid w:val="004F6569"/>
    <w:rsid w:val="00502B67"/>
    <w:rsid w:val="005300A8"/>
    <w:rsid w:val="00587064"/>
    <w:rsid w:val="005935B7"/>
    <w:rsid w:val="005D198D"/>
    <w:rsid w:val="005E4BA1"/>
    <w:rsid w:val="00610D70"/>
    <w:rsid w:val="00626A52"/>
    <w:rsid w:val="0065711A"/>
    <w:rsid w:val="006741BC"/>
    <w:rsid w:val="00684DAB"/>
    <w:rsid w:val="006A3102"/>
    <w:rsid w:val="006E658C"/>
    <w:rsid w:val="006F784A"/>
    <w:rsid w:val="00715374"/>
    <w:rsid w:val="00720C14"/>
    <w:rsid w:val="00723113"/>
    <w:rsid w:val="00731284"/>
    <w:rsid w:val="00747C44"/>
    <w:rsid w:val="0075720E"/>
    <w:rsid w:val="00776386"/>
    <w:rsid w:val="0077674A"/>
    <w:rsid w:val="00785D6A"/>
    <w:rsid w:val="00794907"/>
    <w:rsid w:val="007B6301"/>
    <w:rsid w:val="007D4512"/>
    <w:rsid w:val="007E5B6D"/>
    <w:rsid w:val="007E773A"/>
    <w:rsid w:val="007F22E0"/>
    <w:rsid w:val="00804980"/>
    <w:rsid w:val="00805DCC"/>
    <w:rsid w:val="0082046B"/>
    <w:rsid w:val="00832647"/>
    <w:rsid w:val="008525DC"/>
    <w:rsid w:val="008C5230"/>
    <w:rsid w:val="009005D6"/>
    <w:rsid w:val="00902897"/>
    <w:rsid w:val="0099299A"/>
    <w:rsid w:val="0099431C"/>
    <w:rsid w:val="009E32B3"/>
    <w:rsid w:val="00A02475"/>
    <w:rsid w:val="00A04895"/>
    <w:rsid w:val="00A202CF"/>
    <w:rsid w:val="00A37442"/>
    <w:rsid w:val="00A74E77"/>
    <w:rsid w:val="00AD5DFC"/>
    <w:rsid w:val="00B070F7"/>
    <w:rsid w:val="00B16675"/>
    <w:rsid w:val="00B410FE"/>
    <w:rsid w:val="00B46E0B"/>
    <w:rsid w:val="00B47890"/>
    <w:rsid w:val="00B47A92"/>
    <w:rsid w:val="00B73636"/>
    <w:rsid w:val="00B861D0"/>
    <w:rsid w:val="00B969CE"/>
    <w:rsid w:val="00B97FC2"/>
    <w:rsid w:val="00BB5255"/>
    <w:rsid w:val="00BB757C"/>
    <w:rsid w:val="00BC5AFB"/>
    <w:rsid w:val="00BC641E"/>
    <w:rsid w:val="00C028AE"/>
    <w:rsid w:val="00C034D0"/>
    <w:rsid w:val="00C11F5B"/>
    <w:rsid w:val="00C15EA9"/>
    <w:rsid w:val="00C2393F"/>
    <w:rsid w:val="00C9396B"/>
    <w:rsid w:val="00C94366"/>
    <w:rsid w:val="00CA4ACA"/>
    <w:rsid w:val="00CB15B0"/>
    <w:rsid w:val="00CE54BA"/>
    <w:rsid w:val="00D07D7C"/>
    <w:rsid w:val="00D12E66"/>
    <w:rsid w:val="00D14944"/>
    <w:rsid w:val="00D5622A"/>
    <w:rsid w:val="00D612C7"/>
    <w:rsid w:val="00D633CE"/>
    <w:rsid w:val="00D73CE4"/>
    <w:rsid w:val="00D80950"/>
    <w:rsid w:val="00D80A1B"/>
    <w:rsid w:val="00D85431"/>
    <w:rsid w:val="00DB1C5E"/>
    <w:rsid w:val="00DE2D22"/>
    <w:rsid w:val="00DF1087"/>
    <w:rsid w:val="00E122C4"/>
    <w:rsid w:val="00E23A4D"/>
    <w:rsid w:val="00E34554"/>
    <w:rsid w:val="00E41DEC"/>
    <w:rsid w:val="00E62807"/>
    <w:rsid w:val="00EB3EED"/>
    <w:rsid w:val="00EE748E"/>
    <w:rsid w:val="00EF0323"/>
    <w:rsid w:val="00EF7E88"/>
    <w:rsid w:val="00F061AB"/>
    <w:rsid w:val="00F0647C"/>
    <w:rsid w:val="00F860DC"/>
    <w:rsid w:val="02580379"/>
    <w:rsid w:val="578B2F95"/>
    <w:rsid w:val="61341695"/>
    <w:rsid w:val="7361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 w:after="200" w:line="240" w:lineRule="auto"/>
      <w:outlineLvl w:val="0"/>
    </w:pPr>
    <w:rPr>
      <w:rFonts w:ascii="Arial" w:hAnsi="Arial" w:eastAsia="Arial" w:cs="Arial"/>
      <w:sz w:val="40"/>
      <w:szCs w:val="40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semiHidden/>
    <w:unhideWhenUsed/>
    <w:qFormat/>
    <w:uiPriority w:val="99"/>
    <w:rPr>
      <w:sz w:val="16"/>
      <w:szCs w:val="16"/>
    </w:rPr>
  </w:style>
  <w:style w:type="character" w:styleId="6">
    <w:name w:val="Hyperlink"/>
    <w:basedOn w:val="3"/>
    <w:qFormat/>
    <w:uiPriority w:val="99"/>
    <w:rPr>
      <w:color w:val="0000FF"/>
      <w:u w:val="single"/>
    </w:rPr>
  </w:style>
  <w:style w:type="paragraph" w:styleId="7">
    <w:name w:val="annotation text"/>
    <w:basedOn w:val="1"/>
    <w:link w:val="12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3"/>
    <w:semiHidden/>
    <w:unhideWhenUsed/>
    <w:qFormat/>
    <w:uiPriority w:val="99"/>
    <w:rPr>
      <w:b/>
      <w:bCs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table" w:customStyle="1" w:styleId="11">
    <w:name w:val="Scroll Table Normal"/>
    <w:basedOn w:val="4"/>
    <w:qFormat/>
    <w:uiPriority w:val="99"/>
    <w:pPr>
      <w:spacing w:after="120" w:line="240" w:lineRule="auto"/>
    </w:pPr>
    <w:rPr>
      <w:rFonts w:ascii="Arial" w:hAnsi="Arial" w:eastAsia="Times New Roman" w:cs="Times New Roman"/>
      <w:sz w:val="20"/>
      <w:szCs w:val="24"/>
      <w:lang w:val="en-US"/>
    </w:rPr>
    <w:tblPr>
      <w:tblBorders>
        <w:top w:val="single" w:color="DDDDDD" w:sz="4" w:space="0"/>
        <w:left w:val="single" w:color="DDDDDD" w:sz="4" w:space="0"/>
        <w:bottom w:val="single" w:color="DDDDDD" w:sz="4" w:space="0"/>
        <w:right w:val="single" w:color="DDDDDD" w:sz="4" w:space="0"/>
        <w:insideH w:val="single" w:color="DDDDDD" w:sz="4" w:space="0"/>
        <w:insideV w:val="single" w:color="DDDDDD" w:sz="4" w:space="0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  <w:tblPr/>
      <w:trPr>
        <w:tblHeader/>
      </w:trPr>
      <w:tcPr>
        <w:tc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cPr>
        <w:shd w:val="clear" w:color="auto" w:fill="F0F0F0"/>
      </w:tcPr>
    </w:tblStylePr>
    <w:tblStylePr w:type="nwCell">
      <w:rPr>
        <w:b/>
        <w:color w:val="000000" w:themeColor="text1"/>
        <w14:textFill>
          <w14:solidFill>
            <w14:schemeClr w14:val="tx1"/>
          </w14:solidFill>
        </w14:textFill>
      </w:rPr>
    </w:tblStylePr>
  </w:style>
  <w:style w:type="character" w:customStyle="1" w:styleId="12">
    <w:name w:val="Текст примечания Знак"/>
    <w:basedOn w:val="3"/>
    <w:link w:val="7"/>
    <w:semiHidden/>
    <w:qFormat/>
    <w:uiPriority w:val="99"/>
    <w:rPr>
      <w:sz w:val="20"/>
      <w:szCs w:val="20"/>
    </w:rPr>
  </w:style>
  <w:style w:type="character" w:customStyle="1" w:styleId="13">
    <w:name w:val="Тема примечания Знак"/>
    <w:basedOn w:val="12"/>
    <w:link w:val="8"/>
    <w:semiHidden/>
    <w:qFormat/>
    <w:uiPriority w:val="99"/>
    <w:rPr>
      <w:b/>
      <w:bCs/>
      <w:sz w:val="20"/>
      <w:szCs w:val="20"/>
    </w:rPr>
  </w:style>
  <w:style w:type="character" w:customStyle="1" w:styleId="14">
    <w:name w:val="Заголовок 1 Знак"/>
    <w:basedOn w:val="3"/>
    <w:link w:val="2"/>
    <w:qFormat/>
    <w:uiPriority w:val="9"/>
    <w:rPr>
      <w:rFonts w:ascii="Arial" w:hAnsi="Arial" w:eastAsia="Arial" w:cs="Arial"/>
      <w:sz w:val="40"/>
      <w:szCs w:val="40"/>
      <w:lang w:eastAsia="ru-RU"/>
    </w:rPr>
  </w:style>
  <w:style w:type="paragraph" w:customStyle="1" w:styleId="15">
    <w:name w:val="activ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2658</Words>
  <Characters>15151</Characters>
  <Lines>126</Lines>
  <Paragraphs>35</Paragraphs>
  <TotalTime>0</TotalTime>
  <ScaleCrop>false</ScaleCrop>
  <LinksUpToDate>false</LinksUpToDate>
  <CharactersWithSpaces>17774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Майя Майя</dc:creator>
  <cp:lastModifiedBy>Леонид Селиверс�</cp:lastModifiedBy>
  <dcterms:modified xsi:type="dcterms:W3CDTF">2026-01-27T07:56:11Z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C3657FDC0ED04AAF82B7257C15988DC2_12</vt:lpwstr>
  </property>
</Properties>
</file>